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799" w:rsidRPr="003D34F5" w:rsidRDefault="00FE5799" w:rsidP="00FE5799">
      <w:pPr>
        <w:pStyle w:val="Header"/>
        <w:tabs>
          <w:tab w:val="clear" w:pos="4536"/>
        </w:tabs>
        <w:rPr>
          <w:i/>
          <w:lang w:val="de-DE"/>
        </w:rPr>
      </w:pPr>
      <w:r w:rsidRPr="003D34F5">
        <w:rPr>
          <w:lang w:val="de-DE"/>
        </w:rPr>
        <w:t>TSG-RAN WG1 #84bis</w:t>
      </w:r>
      <w:r w:rsidRPr="003D34F5">
        <w:rPr>
          <w:lang w:val="de-DE"/>
        </w:rPr>
        <w:tab/>
        <w:t>R1-16</w:t>
      </w:r>
      <w:r w:rsidR="008047EE">
        <w:rPr>
          <w:lang w:val="de-DE"/>
        </w:rPr>
        <w:t>3226</w:t>
      </w:r>
    </w:p>
    <w:p w:rsidR="00FE5799" w:rsidRPr="000833FA" w:rsidRDefault="00FE5799" w:rsidP="00FE5799">
      <w:pPr>
        <w:pStyle w:val="Header"/>
        <w:rPr>
          <w:color w:val="000000"/>
        </w:rPr>
      </w:pPr>
      <w:r>
        <w:t>Busan</w:t>
      </w:r>
      <w:r w:rsidRPr="000833FA">
        <w:t xml:space="preserve">, </w:t>
      </w:r>
      <w:r>
        <w:t>South Korea</w:t>
      </w:r>
      <w:r w:rsidRPr="000833FA">
        <w:t>,</w:t>
      </w:r>
      <w:r>
        <w:t xml:space="preserve"> April 11 – 15, 2016</w:t>
      </w:r>
    </w:p>
    <w:p w:rsidR="00FE5799" w:rsidRPr="000833FA" w:rsidRDefault="00FE5799" w:rsidP="00FE5799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2E584F">
        <w:t>Frame structure</w:t>
      </w:r>
      <w:r w:rsidR="00CF67BE">
        <w:t xml:space="preserve"> for </w:t>
      </w:r>
      <w:r w:rsidR="00655A75">
        <w:t>NR</w:t>
      </w:r>
      <w:bookmarkStart w:id="1" w:name="_GoBack"/>
      <w:bookmarkEnd w:id="1"/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2" w:name="Source"/>
      <w:bookmarkEnd w:id="2"/>
      <w:r w:rsidRPr="0003368D">
        <w:tab/>
      </w:r>
      <w:r w:rsidR="00812A2D">
        <w:t>8.1.5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FE5799" w:rsidRDefault="00FE5799" w:rsidP="00FE5799">
      <w:pPr>
        <w:pStyle w:val="Heading1"/>
        <w:spacing w:before="180"/>
        <w:ind w:left="562" w:hanging="562"/>
      </w:pPr>
      <w:r>
        <w:t>Introduction</w:t>
      </w:r>
    </w:p>
    <w:p w:rsidR="006952A0" w:rsidRPr="00CD25F1" w:rsidRDefault="006952A0" w:rsidP="006952A0">
      <w:pPr>
        <w:pStyle w:val="BodyText"/>
      </w:pPr>
      <w:r>
        <w:t xml:space="preserve">Transmissions in the new RAT are organized in subframes, similarly to LTE although the subframe duration is likely to be shorter than LTE to allow for a lower overall latency and may scale with the applied numerology </w:t>
      </w:r>
      <w:r w:rsidR="00D962A0">
        <w:fldChar w:fldCharType="begin"/>
      </w:r>
      <w:r w:rsidR="00D962A0">
        <w:instrText xml:space="preserve"> REF _Ref445818173 \r \h </w:instrText>
      </w:r>
      <w:r w:rsidR="00D962A0">
        <w:fldChar w:fldCharType="separate"/>
      </w:r>
      <w:r w:rsidR="00D962A0">
        <w:t>[1]</w:t>
      </w:r>
      <w:r w:rsidR="00D962A0">
        <w:fldChar w:fldCharType="end"/>
      </w:r>
      <w:r>
        <w:t>.</w:t>
      </w:r>
    </w:p>
    <w:p w:rsidR="006952A0" w:rsidRDefault="00577474" w:rsidP="006952A0">
      <w:pPr>
        <w:pStyle w:val="BodyText"/>
      </w:pPr>
      <w:r>
        <w:t>R</w:t>
      </w:r>
      <w:r w:rsidR="006952A0">
        <w:t>equirements on the frame structure</w:t>
      </w:r>
      <w:r>
        <w:t xml:space="preserve"> include:</w:t>
      </w:r>
    </w:p>
    <w:p w:rsidR="006952A0" w:rsidRDefault="006952A0" w:rsidP="006952A0">
      <w:pPr>
        <w:pStyle w:val="ListParagraph"/>
        <w:numPr>
          <w:ilvl w:val="0"/>
          <w:numId w:val="6"/>
        </w:numPr>
      </w:pPr>
      <w:r>
        <w:t>Allow for low latency. This requires fairly short basic subframe duration in the range of 100 – 200 µs but also the possibility for a fast feedback of the hybrid-ARQ acknowledgement.</w:t>
      </w:r>
    </w:p>
    <w:p w:rsidR="006952A0" w:rsidRDefault="006952A0" w:rsidP="006952A0">
      <w:pPr>
        <w:pStyle w:val="ListParagraph"/>
        <w:numPr>
          <w:ilvl w:val="0"/>
          <w:numId w:val="6"/>
        </w:numPr>
      </w:pPr>
      <w:r>
        <w:t xml:space="preserve">Allow for dynamic TDD, i.e. decisions on the “direction” (uplink or downlink) of a subframe is taken by the scheduler on a dynamic basis. </w:t>
      </w:r>
    </w:p>
    <w:p w:rsidR="006952A0" w:rsidRDefault="006952A0" w:rsidP="006952A0">
      <w:pPr>
        <w:pStyle w:val="ListParagraph"/>
        <w:numPr>
          <w:ilvl w:val="0"/>
          <w:numId w:val="6"/>
        </w:numPr>
      </w:pPr>
      <w:r>
        <w:t xml:space="preserve">Allow for coexistence with LTE </w:t>
      </w:r>
      <w:r w:rsidR="00AA02A4">
        <w:t xml:space="preserve">frame structure 2 </w:t>
      </w:r>
      <w:r>
        <w:t>in neighboring carriers</w:t>
      </w:r>
    </w:p>
    <w:p w:rsidR="006952A0" w:rsidRDefault="006952A0" w:rsidP="006952A0">
      <w:pPr>
        <w:pStyle w:val="ListParagraph"/>
        <w:numPr>
          <w:ilvl w:val="0"/>
          <w:numId w:val="6"/>
        </w:numPr>
      </w:pPr>
      <w:r>
        <w:t xml:space="preserve">Allow for variable transmission lengths, e.g. short transmissions for critical MTC and longer transmissions durations for MBB </w:t>
      </w:r>
    </w:p>
    <w:p w:rsidR="006952A0" w:rsidRDefault="006952A0" w:rsidP="006952A0">
      <w:pPr>
        <w:pStyle w:val="ListParagraph"/>
        <w:numPr>
          <w:ilvl w:val="0"/>
          <w:numId w:val="6"/>
        </w:numPr>
      </w:pPr>
      <w:r>
        <w:t>Allow for “on the fly” processing for low latency</w:t>
      </w:r>
    </w:p>
    <w:p w:rsidR="00CD25F1" w:rsidRDefault="00BC406C" w:rsidP="00CD25F1">
      <w:pPr>
        <w:pStyle w:val="Heading1"/>
      </w:pPr>
      <w:r>
        <w:t>Frame structure</w:t>
      </w:r>
    </w:p>
    <w:p w:rsidR="00BC406C" w:rsidRDefault="00334282" w:rsidP="00BC406C">
      <w:pPr>
        <w:pStyle w:val="BodyText"/>
      </w:pPr>
      <w:r>
        <w:t>B</w:t>
      </w:r>
      <w:r w:rsidR="00BC406C">
        <w:t xml:space="preserve">ased on </w:t>
      </w:r>
      <w:r>
        <w:t xml:space="preserve">the </w:t>
      </w:r>
      <w:r w:rsidR="00BC406C">
        <w:t>two “building blocks”</w:t>
      </w:r>
      <w:r>
        <w:t xml:space="preserve"> in </w:t>
      </w:r>
      <w:r>
        <w:fldChar w:fldCharType="begin"/>
      </w:r>
      <w:r>
        <w:instrText xml:space="preserve"> REF _Ref445128291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,</w:t>
      </w:r>
    </w:p>
    <w:p w:rsidR="00334282" w:rsidRDefault="00334282" w:rsidP="003776DB">
      <w:pPr>
        <w:pStyle w:val="ListParagraph"/>
        <w:numPr>
          <w:ilvl w:val="0"/>
          <w:numId w:val="7"/>
        </w:numPr>
      </w:pPr>
      <w:r>
        <w:t>a downlink subframe with transmissions starting at the beginning of the subframe, and</w:t>
      </w:r>
    </w:p>
    <w:p w:rsidR="00334282" w:rsidRDefault="00334282" w:rsidP="003776DB">
      <w:pPr>
        <w:pStyle w:val="ListParagraph"/>
        <w:numPr>
          <w:ilvl w:val="0"/>
          <w:numId w:val="7"/>
        </w:numPr>
      </w:pPr>
      <w:r>
        <w:t>an uplink subframe with transmissions ending at the end of a subframe,</w:t>
      </w:r>
    </w:p>
    <w:p w:rsidR="00334282" w:rsidRDefault="00334282" w:rsidP="00334282">
      <w:pPr>
        <w:pStyle w:val="BodyText"/>
      </w:pPr>
      <w:proofErr w:type="gramStart"/>
      <w:r>
        <w:t>transmissions</w:t>
      </w:r>
      <w:proofErr w:type="gramEnd"/>
      <w:r>
        <w:t xml:space="preserve"> spanning one or more subframes can be composed as shown in </w:t>
      </w:r>
      <w:r>
        <w:fldChar w:fldCharType="begin"/>
      </w:r>
      <w:r>
        <w:instrText xml:space="preserve"> REF _Ref445128368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. Note that the structure allows for a very fast hybrid-ARQ acknowledgement with decoding being performed during the reception of downlink data and the hybrid-ARQ acknowledgement being prepared </w:t>
      </w:r>
      <w:r w:rsidR="00572C6A">
        <w:t>by</w:t>
      </w:r>
      <w:r>
        <w:t xml:space="preserve"> the UE essentially during the guard period when switching from downlink reception to uplink transmission.</w:t>
      </w:r>
    </w:p>
    <w:p w:rsidR="00334282" w:rsidRDefault="006952A0" w:rsidP="00334282">
      <w:pPr>
        <w:pStyle w:val="BodyText"/>
      </w:pPr>
      <w:r>
        <w:t>Transmissions do</w:t>
      </w:r>
      <w:r w:rsidR="00334282">
        <w:t xml:space="preserve"> not have to be confined to a single subframe; </w:t>
      </w:r>
      <w:r w:rsidR="002D2F5A">
        <w:t xml:space="preserve">multi-subframe transmissions are possible as shown in the right part of </w:t>
      </w:r>
      <w:r w:rsidR="002D2F5A">
        <w:fldChar w:fldCharType="begin"/>
      </w:r>
      <w:r w:rsidR="002D2F5A">
        <w:instrText xml:space="preserve"> REF _Ref445128368 \h </w:instrText>
      </w:r>
      <w:r w:rsidR="002D2F5A">
        <w:fldChar w:fldCharType="separate"/>
      </w:r>
      <w:r w:rsidR="002D2F5A">
        <w:t xml:space="preserve">Figure </w:t>
      </w:r>
      <w:r w:rsidR="002D2F5A">
        <w:rPr>
          <w:noProof/>
        </w:rPr>
        <w:t>2</w:t>
      </w:r>
      <w:r w:rsidR="002D2F5A">
        <w:fldChar w:fldCharType="end"/>
      </w:r>
      <w:r w:rsidR="002D2F5A">
        <w:t xml:space="preserve">. Having longer transmission durations than the basic subframe duration is beneficial for services not requiring very low latency as a way to reduce the </w:t>
      </w:r>
      <w:r w:rsidR="003776DB">
        <w:t>overhead in TDD</w:t>
      </w:r>
      <w:r w:rsidR="00572C6A">
        <w:t xml:space="preserve"> due to switching, RS and control</w:t>
      </w:r>
      <w:r w:rsidR="003776DB">
        <w:t>.</w:t>
      </w:r>
    </w:p>
    <w:p w:rsidR="003776DB" w:rsidRDefault="003776DB" w:rsidP="003776DB">
      <w:pPr>
        <w:pStyle w:val="BodyText"/>
      </w:pPr>
      <w:r>
        <w:t xml:space="preserve">The same frame structure can be used for FDD as well as illustrated in </w:t>
      </w:r>
      <w:r>
        <w:fldChar w:fldCharType="begin"/>
      </w:r>
      <w:r>
        <w:instrText xml:space="preserve"> REF _Ref445128953 \h  \* MERGEFORMAT </w:instrText>
      </w:r>
      <w:r>
        <w:fldChar w:fldCharType="separate"/>
      </w:r>
      <w:r>
        <w:t>Figure 3</w:t>
      </w:r>
      <w:r>
        <w:fldChar w:fldCharType="end"/>
      </w:r>
      <w:r>
        <w:t xml:space="preserve">. However, since a full-duplex FDD UE is capable of simultaneous reception and transmission the full downlink subframe can be exploited for data transmission. This can be handled by using a different timing advance than in the TDD case. </w:t>
      </w:r>
    </w:p>
    <w:p w:rsidR="003776DB" w:rsidRDefault="003776DB" w:rsidP="003776DB">
      <w:pPr>
        <w:pStyle w:val="BodyText"/>
      </w:pPr>
      <w:r>
        <w:t xml:space="preserve">Finally, the frame structure is applicable also for </w:t>
      </w:r>
      <w:proofErr w:type="spellStart"/>
      <w:r>
        <w:t>sidelink</w:t>
      </w:r>
      <w:proofErr w:type="spellEnd"/>
      <w:r>
        <w:t xml:space="preserve"> transmissions. In that case the “downlink” frame structure is used by the device initiating (scheduling) the transmission and the “uplink” frame structure by the device responding to the transmission.</w:t>
      </w:r>
    </w:p>
    <w:p w:rsidR="004E15C4" w:rsidRDefault="004E15C4" w:rsidP="003776DB">
      <w:pPr>
        <w:pStyle w:val="BodyText"/>
      </w:pPr>
    </w:p>
    <w:p w:rsidR="00334282" w:rsidRDefault="00334282" w:rsidP="003776DB">
      <w:pPr>
        <w:pStyle w:val="BodyText"/>
      </w:pPr>
      <w:r w:rsidRPr="00334282">
        <w:rPr>
          <w:noProof/>
        </w:rPr>
        <w:drawing>
          <wp:inline distT="0" distB="0" distL="0" distR="0" wp14:anchorId="2224BFD8" wp14:editId="76E07637">
            <wp:extent cx="3928679" cy="857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7763" cy="85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06C" w:rsidRDefault="00334282" w:rsidP="00334282">
      <w:pPr>
        <w:pStyle w:val="Caption"/>
        <w:jc w:val="both"/>
      </w:pPr>
      <w:bookmarkStart w:id="4" w:name="_Ref44512829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D2F5A">
        <w:rPr>
          <w:noProof/>
        </w:rPr>
        <w:t>1</w:t>
      </w:r>
      <w:r>
        <w:fldChar w:fldCharType="end"/>
      </w:r>
      <w:bookmarkEnd w:id="4"/>
      <w:r>
        <w:t>: Uplink and downlink "building blocks"</w:t>
      </w:r>
    </w:p>
    <w:p w:rsidR="004E15C4" w:rsidRPr="004E15C4" w:rsidRDefault="004E15C4" w:rsidP="004E15C4"/>
    <w:p w:rsidR="00334282" w:rsidRDefault="00334282" w:rsidP="003776DB">
      <w:pPr>
        <w:pStyle w:val="BodyText"/>
      </w:pPr>
      <w:r w:rsidRPr="00334282">
        <w:rPr>
          <w:noProof/>
        </w:rPr>
        <w:lastRenderedPageBreak/>
        <w:drawing>
          <wp:inline distT="0" distB="0" distL="0" distR="0" wp14:anchorId="1C241764" wp14:editId="2FA21119">
            <wp:extent cx="5760720" cy="89662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6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406C" w:rsidRDefault="00334282" w:rsidP="00334282">
      <w:pPr>
        <w:pStyle w:val="Caption"/>
        <w:jc w:val="both"/>
      </w:pPr>
      <w:bookmarkStart w:id="5" w:name="_Ref4451283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D2F5A">
        <w:rPr>
          <w:noProof/>
        </w:rPr>
        <w:t>2</w:t>
      </w:r>
      <w:r>
        <w:fldChar w:fldCharType="end"/>
      </w:r>
      <w:bookmarkEnd w:id="5"/>
      <w:r>
        <w:t>: Example of downlink transmissions spanning one and two subframes</w:t>
      </w:r>
      <w:r w:rsidR="002D2F5A">
        <w:t xml:space="preserve"> in case of TDD</w:t>
      </w:r>
      <w:r>
        <w:t>.</w:t>
      </w:r>
    </w:p>
    <w:p w:rsidR="002D2F5A" w:rsidRDefault="002D2F5A" w:rsidP="002D2F5A"/>
    <w:p w:rsidR="002D2F5A" w:rsidRDefault="002D2F5A" w:rsidP="003776DB">
      <w:pPr>
        <w:pStyle w:val="BodyText"/>
      </w:pPr>
      <w:r w:rsidRPr="002D2F5A">
        <w:rPr>
          <w:noProof/>
        </w:rPr>
        <w:drawing>
          <wp:inline distT="0" distB="0" distL="0" distR="0" wp14:anchorId="7776C7A4" wp14:editId="22D5DD6F">
            <wp:extent cx="2697918" cy="485775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961" cy="491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F5A" w:rsidRPr="002D2F5A" w:rsidRDefault="002D2F5A" w:rsidP="002D2F5A">
      <w:pPr>
        <w:pStyle w:val="Caption"/>
      </w:pPr>
      <w:bookmarkStart w:id="6" w:name="_Ref44512895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6"/>
      <w:r>
        <w:t>: Example of frame structure for FDD.</w:t>
      </w:r>
    </w:p>
    <w:p w:rsidR="006952A0" w:rsidRDefault="006952A0" w:rsidP="00FE5799">
      <w:pPr>
        <w:pStyle w:val="Heading1"/>
      </w:pPr>
      <w:r>
        <w:t>Low latency – “on the fly” processing</w:t>
      </w:r>
    </w:p>
    <w:p w:rsidR="00D962A0" w:rsidRDefault="00D962A0" w:rsidP="00D962A0">
      <w:pPr>
        <w:pStyle w:val="BodyText"/>
      </w:pPr>
      <w:r>
        <w:t xml:space="preserve">To obtain a low latency, it is highly beneficial if the receiver can process the signal as it is received instead of buffering a (set of) subframe(s) prior to processing. This requires </w:t>
      </w:r>
      <w:r w:rsidR="003800CD">
        <w:t xml:space="preserve">careful placement of reference signals and control signaling within the subframe. For example, </w:t>
      </w:r>
      <w:r>
        <w:t>the necessary control signaling and reference signals to be present at the beginning of the subframe, see FIGURE.</w:t>
      </w:r>
      <w:r w:rsidR="003800CD">
        <w:t xml:space="preserve"> Without such a structure the decoder and associated circuitry need to be over dimensioned to handle decoding of the subframe (or set of subframes) in a very short period of time.</w:t>
      </w:r>
    </w:p>
    <w:p w:rsidR="00577474" w:rsidRDefault="003800CD" w:rsidP="00D962A0">
      <w:pPr>
        <w:pStyle w:val="BodyText"/>
        <w:rPr>
          <w:b/>
        </w:rPr>
      </w:pPr>
      <w:r w:rsidRPr="003800CD">
        <w:rPr>
          <w:b/>
        </w:rPr>
        <w:t xml:space="preserve">Proposal: </w:t>
      </w:r>
    </w:p>
    <w:p w:rsidR="003800CD" w:rsidRPr="003800CD" w:rsidRDefault="00655A75" w:rsidP="00577474">
      <w:pPr>
        <w:pStyle w:val="BodyText"/>
        <w:numPr>
          <w:ilvl w:val="0"/>
          <w:numId w:val="8"/>
        </w:numPr>
        <w:rPr>
          <w:b/>
        </w:rPr>
      </w:pPr>
      <w:r>
        <w:rPr>
          <w:b/>
        </w:rPr>
        <w:t>S</w:t>
      </w:r>
      <w:r w:rsidR="003800CD" w:rsidRPr="003800CD">
        <w:rPr>
          <w:b/>
        </w:rPr>
        <w:t>ubfram</w:t>
      </w:r>
      <w:r>
        <w:rPr>
          <w:b/>
        </w:rPr>
        <w:t>es (or sets of subframes) should</w:t>
      </w:r>
      <w:r w:rsidR="003800CD" w:rsidRPr="003800CD">
        <w:rPr>
          <w:b/>
        </w:rPr>
        <w:t xml:space="preserve"> be “front loaded” with control signaling and reference signals at the beginning of the (set of) subframe(s)</w:t>
      </w:r>
    </w:p>
    <w:p w:rsidR="00FE5799" w:rsidRDefault="00FE5799" w:rsidP="00FE5799">
      <w:pPr>
        <w:pStyle w:val="Heading1"/>
      </w:pPr>
      <w:r>
        <w:t>Conclusion</w:t>
      </w:r>
    </w:p>
    <w:p w:rsidR="00FE5799" w:rsidRDefault="00F94776" w:rsidP="00FE5799">
      <w:pPr>
        <w:pStyle w:val="BodyText"/>
      </w:pPr>
      <w:r>
        <w:t>The following is proposed:</w:t>
      </w:r>
    </w:p>
    <w:p w:rsidR="00F94776" w:rsidRPr="00F94776" w:rsidRDefault="00F94776" w:rsidP="00F94776">
      <w:pPr>
        <w:pStyle w:val="BodyText"/>
        <w:numPr>
          <w:ilvl w:val="0"/>
          <w:numId w:val="8"/>
        </w:numPr>
        <w:rPr>
          <w:b/>
        </w:rPr>
      </w:pPr>
      <w:r w:rsidRPr="00F94776">
        <w:rPr>
          <w:b/>
        </w:rPr>
        <w:t>Define two subframes types</w:t>
      </w:r>
    </w:p>
    <w:p w:rsidR="00F94776" w:rsidRPr="00F94776" w:rsidRDefault="00F94776" w:rsidP="00F94776">
      <w:pPr>
        <w:pStyle w:val="ListParagraph"/>
        <w:numPr>
          <w:ilvl w:val="1"/>
          <w:numId w:val="8"/>
        </w:numPr>
        <w:rPr>
          <w:b/>
        </w:rPr>
      </w:pPr>
      <w:r w:rsidRPr="00F94776">
        <w:rPr>
          <w:b/>
        </w:rPr>
        <w:t>a downlink subframe with transmissions starting at the beginning of the subframe</w:t>
      </w:r>
    </w:p>
    <w:p w:rsidR="00F94776" w:rsidRPr="00F94776" w:rsidRDefault="00F94776" w:rsidP="00F94776">
      <w:pPr>
        <w:pStyle w:val="ListParagraph"/>
        <w:numPr>
          <w:ilvl w:val="1"/>
          <w:numId w:val="8"/>
        </w:numPr>
        <w:rPr>
          <w:b/>
        </w:rPr>
      </w:pPr>
      <w:r w:rsidRPr="00F94776">
        <w:rPr>
          <w:b/>
        </w:rPr>
        <w:t>an uplink subframe with transmissions ending at the end of a subframe,</w:t>
      </w:r>
    </w:p>
    <w:p w:rsidR="00F94776" w:rsidRDefault="00F94776" w:rsidP="00F94776">
      <w:pPr>
        <w:pStyle w:val="BodyText"/>
        <w:numPr>
          <w:ilvl w:val="0"/>
          <w:numId w:val="8"/>
        </w:numPr>
        <w:rPr>
          <w:b/>
        </w:rPr>
      </w:pPr>
      <w:r w:rsidRPr="00F94776">
        <w:rPr>
          <w:b/>
        </w:rPr>
        <w:t xml:space="preserve">Transmission of a transport block span one or a </w:t>
      </w:r>
      <w:proofErr w:type="spellStart"/>
      <w:r w:rsidRPr="00F94776">
        <w:rPr>
          <w:b/>
        </w:rPr>
        <w:t>a</w:t>
      </w:r>
      <w:proofErr w:type="spellEnd"/>
      <w:r w:rsidRPr="00F94776">
        <w:rPr>
          <w:b/>
        </w:rPr>
        <w:t xml:space="preserve"> set of subframes </w:t>
      </w:r>
    </w:p>
    <w:p w:rsidR="00FA1509" w:rsidRPr="00F94776" w:rsidRDefault="00FA1509" w:rsidP="00F94776">
      <w:pPr>
        <w:pStyle w:val="BodyText"/>
        <w:numPr>
          <w:ilvl w:val="0"/>
          <w:numId w:val="8"/>
        </w:numPr>
        <w:rPr>
          <w:b/>
        </w:rPr>
      </w:pPr>
      <w:r>
        <w:rPr>
          <w:b/>
        </w:rPr>
        <w:t>Hybrid-ARQ acknowledgements can be transmitted at the end of the (set of) subframe(s)</w:t>
      </w:r>
    </w:p>
    <w:p w:rsidR="00F94776" w:rsidRPr="00F94776" w:rsidRDefault="00F94776" w:rsidP="00F94776">
      <w:pPr>
        <w:pStyle w:val="BodyText"/>
        <w:numPr>
          <w:ilvl w:val="0"/>
          <w:numId w:val="8"/>
        </w:numPr>
        <w:rPr>
          <w:b/>
        </w:rPr>
      </w:pPr>
      <w:r w:rsidRPr="00F94776">
        <w:rPr>
          <w:b/>
        </w:rPr>
        <w:t>Subfram</w:t>
      </w:r>
      <w:r w:rsidR="00655A75">
        <w:rPr>
          <w:b/>
        </w:rPr>
        <w:t>es (or sets of subframes) should</w:t>
      </w:r>
      <w:r w:rsidRPr="00F94776">
        <w:rPr>
          <w:b/>
        </w:rPr>
        <w:t xml:space="preserve"> be “front loaded” with control signaling and reference signals at the beginning of the (set of) subframe(s)</w:t>
      </w:r>
    </w:p>
    <w:p w:rsidR="00FE5799" w:rsidRPr="00510266" w:rsidRDefault="00FE5799" w:rsidP="00FE5799">
      <w:pPr>
        <w:pStyle w:val="Heading1"/>
      </w:pPr>
      <w:r w:rsidRPr="00510266">
        <w:t>References</w:t>
      </w:r>
    </w:p>
    <w:p w:rsidR="00FE5799" w:rsidRPr="00461DD9" w:rsidRDefault="008047EE" w:rsidP="00FE5799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7" w:name="_Ref445818173"/>
      <w:r>
        <w:t>R1-163227</w:t>
      </w:r>
      <w:r w:rsidR="00D962A0">
        <w:t xml:space="preserve">, </w:t>
      </w:r>
      <w:r>
        <w:t>“</w:t>
      </w:r>
      <w:bookmarkEnd w:id="7"/>
      <w:r>
        <w:t>Numerology for NR”, Ericsson</w:t>
      </w:r>
    </w:p>
    <w:p w:rsidR="00FE5799" w:rsidRPr="00FE5799" w:rsidRDefault="00FE5799" w:rsidP="00FA1509">
      <w:pPr>
        <w:jc w:val="both"/>
        <w:rPr>
          <w:szCs w:val="20"/>
          <w:lang w:val="it-IT"/>
        </w:rPr>
      </w:pPr>
    </w:p>
    <w:sectPr w:rsidR="00FE5799" w:rsidRPr="00FE579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6BA" w:rsidRDefault="004E46BA" w:rsidP="001B3EB1">
      <w:r>
        <w:separator/>
      </w:r>
    </w:p>
  </w:endnote>
  <w:endnote w:type="continuationSeparator" w:id="0">
    <w:p w:rsidR="004E46BA" w:rsidRDefault="004E46BA" w:rsidP="001B3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EB1" w:rsidRDefault="001B3E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EB1" w:rsidRDefault="001B3EB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EB1" w:rsidRDefault="001B3E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6BA" w:rsidRDefault="004E46BA" w:rsidP="001B3EB1">
      <w:r>
        <w:separator/>
      </w:r>
    </w:p>
  </w:footnote>
  <w:footnote w:type="continuationSeparator" w:id="0">
    <w:p w:rsidR="004E46BA" w:rsidRDefault="004E46BA" w:rsidP="001B3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EB1" w:rsidRDefault="001B3E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7" w:rsidRDefault="004E46BA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EB1" w:rsidRDefault="001B3E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552BF"/>
    <w:multiLevelType w:val="hybridMultilevel"/>
    <w:tmpl w:val="6674DE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2049AB"/>
    <w:multiLevelType w:val="hybridMultilevel"/>
    <w:tmpl w:val="E0C8E2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2A7BC2"/>
    <w:multiLevelType w:val="hybridMultilevel"/>
    <w:tmpl w:val="4D1C98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AD2D4D"/>
    <w:multiLevelType w:val="hybridMultilevel"/>
    <w:tmpl w:val="C2D026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E4DBB"/>
    <w:rsid w:val="00104515"/>
    <w:rsid w:val="001B3EB1"/>
    <w:rsid w:val="001E70ED"/>
    <w:rsid w:val="0021547B"/>
    <w:rsid w:val="002D2F5A"/>
    <w:rsid w:val="002E584F"/>
    <w:rsid w:val="00312DA6"/>
    <w:rsid w:val="00334282"/>
    <w:rsid w:val="003776DB"/>
    <w:rsid w:val="003800CD"/>
    <w:rsid w:val="003A5650"/>
    <w:rsid w:val="003D34F5"/>
    <w:rsid w:val="004E15C4"/>
    <w:rsid w:val="004E46BA"/>
    <w:rsid w:val="00572C6A"/>
    <w:rsid w:val="00577474"/>
    <w:rsid w:val="006248C8"/>
    <w:rsid w:val="006337DA"/>
    <w:rsid w:val="00655A75"/>
    <w:rsid w:val="00687C4D"/>
    <w:rsid w:val="006952A0"/>
    <w:rsid w:val="006A286A"/>
    <w:rsid w:val="008047EE"/>
    <w:rsid w:val="00812A2D"/>
    <w:rsid w:val="009B2E48"/>
    <w:rsid w:val="00AA02A4"/>
    <w:rsid w:val="00B368D9"/>
    <w:rsid w:val="00B72311"/>
    <w:rsid w:val="00BC406C"/>
    <w:rsid w:val="00C1560A"/>
    <w:rsid w:val="00CD25F1"/>
    <w:rsid w:val="00CF67BE"/>
    <w:rsid w:val="00D03119"/>
    <w:rsid w:val="00D962A0"/>
    <w:rsid w:val="00F4614B"/>
    <w:rsid w:val="00F94776"/>
    <w:rsid w:val="00FA1509"/>
    <w:rsid w:val="00FA7942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2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282"/>
    <w:rPr>
      <w:rFonts w:ascii="Tahoma" w:eastAsia="Times New Roman" w:hAnsi="Tahoma" w:cs="Tahoma"/>
      <w:sz w:val="16"/>
      <w:szCs w:val="16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334282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3776D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76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76DB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76D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7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76D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B3E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3EB1"/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2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282"/>
    <w:rPr>
      <w:rFonts w:ascii="Tahoma" w:eastAsia="Times New Roman" w:hAnsi="Tahoma" w:cs="Tahoma"/>
      <w:sz w:val="16"/>
      <w:szCs w:val="16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334282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3776D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76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76DB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76D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7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76D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B3E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3EB1"/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B165A-17E3-461B-B796-E5E6708B7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Mattias Frenne</cp:lastModifiedBy>
  <cp:revision>3</cp:revision>
  <dcterms:created xsi:type="dcterms:W3CDTF">2016-04-01T13:06:00Z</dcterms:created>
  <dcterms:modified xsi:type="dcterms:W3CDTF">2016-04-01T13:06:00Z</dcterms:modified>
</cp:coreProperties>
</file>